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C5" w:rsidRDefault="00CD51C5" w:rsidP="00C02C3C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A31C83" w:rsidTr="00A31C83">
        <w:tc>
          <w:tcPr>
            <w:tcW w:w="4726" w:type="dxa"/>
          </w:tcPr>
          <w:p w:rsidR="00A31C83" w:rsidRPr="00CD51C5" w:rsidRDefault="00A31C83" w:rsidP="00A31C83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man kwali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chtapow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oksé: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tein tikihtowa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pan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wa?</w:t>
            </w:r>
          </w:p>
          <w:p w:rsidR="00A31C83" w:rsidRPr="005F3691" w:rsidRDefault="00A31C83" w:rsidP="00C02C3C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nejó:n,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 takwahtokeh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..., mah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kikwah n' chiktehmeh.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mowa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nkowit tein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nimitsilia,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lpan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nkowit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igual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mah, mah 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wak para kwali momel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sa. </w:t>
            </w:r>
          </w:p>
        </w:tc>
        <w:tc>
          <w:tcPr>
            <w:tcW w:w="4727" w:type="dxa"/>
          </w:tcPr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A31C83" w:rsidTr="00A31C83">
        <w:tc>
          <w:tcPr>
            <w:tcW w:w="4726" w:type="dxa"/>
          </w:tcPr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itech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 kowit, n'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mismo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i...,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kowyo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takwal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mpa onkak tsapot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Ompa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ohk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nis. Ohk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mah ilpito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mpa pero mah 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ntok.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 sepa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kow..., kowit tein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kichihkolowa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nkat.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kitaskia kwali, kwali ki..., kipal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para kipat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mpilowa itech..., itech n' kwowts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tein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chihkoltik nimitsilia,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yewaltik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kichihkolowa.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mpilowa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nkat itech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mpilowa ihkó:n,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nto,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... nihnik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neh nik..., nikilpilia,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xtapaletok n' kwowts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neh nikilpilia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para cuando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tawetsi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pawetsi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lpan. Ompa sah pilkatik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sa n'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nimowiht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sepa n't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lpan ok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nik..., nikpoloh ya,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mo.</w:t>
            </w:r>
          </w:p>
        </w:tc>
        <w:tc>
          <w:tcPr>
            <w:tcW w:w="4727" w:type="dxa"/>
          </w:tcPr>
          <w:p w:rsidR="00A31C83" w:rsidRDefault="00A31C83" w:rsidP="00C02C3C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C83" w:rsidTr="00A31C83">
        <w:tc>
          <w:tcPr>
            <w:tcW w:w="4726" w:type="dxa"/>
          </w:tcPr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Nikilpia para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tawetsi, taksaki n'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etok n'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 nikt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lia xiwit,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lia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pan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nikahkwí:n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tsaya n' ....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mokwih wehweichiktehmeh,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lmeh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kowchitomeh, tein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más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wehwei chiktehmeh nemih.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ahko n' takwah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mo..., seki n' chiktehmeh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temowah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lpan pos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 ahko.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ihkón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lia nimitsilia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 ompa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kitsakwa n' ika xiwit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....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kin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s, tik..., moketsak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mpa...,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paniá:n, moketsa itech n'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para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tawetsi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kilpia ya m'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Mopilowa, ompa etok a n' chikteh. </w:t>
            </w:r>
          </w:p>
        </w:tc>
        <w:tc>
          <w:tcPr>
            <w:tcW w:w="4727" w:type="dxa"/>
          </w:tcPr>
          <w:p w:rsidR="00A31C83" w:rsidRDefault="00A31C83" w:rsidP="00C02C3C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C83" w:rsidTr="00A31C83">
        <w:tc>
          <w:tcPr>
            <w:tcW w:w="4726" w:type="dxa"/>
          </w:tcPr>
          <w:p w:rsidR="00A31C83" w:rsidRDefault="005F3691" w:rsidP="00C02C3C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semi ihsiwka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wa, soh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kimati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kihilp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āmo </w:t>
            </w:r>
            <w:r w:rsidRPr="005F3691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tanto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ti..., tiktoht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kati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tikihilp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s sah ika, ika kwomekat, to..., to..., tein ya tikahsik.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nejó:n,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yehwa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kintakechilia.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kiliah ko..., kowm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p..., kowm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pa...,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pawit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De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pan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mokwih miak taman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tein, tein wehwe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tein tsikitsits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tein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 pap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lmeh, mo..., komohkó:n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chachalacas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kowtah n' onkakeh,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mokwih ika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itech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matet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tehko ahko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waya iwki,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tski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ya neh,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wel nikintatop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nilia, </w:t>
            </w:r>
            <w:r w:rsidRPr="00CD51C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mejor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 ika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mah,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 kwali.</w:t>
            </w:r>
          </w:p>
        </w:tc>
        <w:tc>
          <w:tcPr>
            <w:tcW w:w="4727" w:type="dxa"/>
          </w:tcPr>
          <w:p w:rsidR="00A31C83" w:rsidRDefault="00A31C83" w:rsidP="00C02C3C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C83" w:rsidTr="00A31C83">
        <w:tc>
          <w:tcPr>
            <w:tcW w:w="4726" w:type="dxa"/>
          </w:tcPr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Te..., te...,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makowit, oksé: kowit tein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ālilia. </w:t>
            </w:r>
          </w:p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ltsapot, ok..., ti..., ti....</w:t>
            </w:r>
          </w:p>
        </w:tc>
        <w:tc>
          <w:tcPr>
            <w:tcW w:w="4727" w:type="dxa"/>
          </w:tcPr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  <w:tr w:rsidR="00A31C83" w:rsidTr="00A31C83">
        <w:tc>
          <w:tcPr>
            <w:tcW w:w="4726" w:type="dxa"/>
          </w:tcPr>
          <w:p w:rsidR="00A31C83" w:rsidRPr="005F3691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Pos komohkó:n,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 tetsapot </w:t>
            </w:r>
            <w:r w:rsidRPr="005F3691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más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kachi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ālilia </w:t>
            </w:r>
            <w:r w:rsidRPr="005F3691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 más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yeh,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na...,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ltsapot. Kachi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mopal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wia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was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ltsapot, yehwa sah n' kikwah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ēn, chiktehmeh </w:t>
            </w:r>
            <w:r w:rsidRPr="005F3691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sólo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 kikwah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chiktehmeh n' ahko pero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mo wel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ālia </w:t>
            </w:r>
            <w:r w:rsidRPr="005F3691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wihwit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tstik komoke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ltsapot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momahmaxalowa, mom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ytia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n,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wia n' ahko.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mah.</w:t>
            </w:r>
          </w:p>
        </w:tc>
        <w:tc>
          <w:tcPr>
            <w:tcW w:w="4727" w:type="dxa"/>
          </w:tcPr>
          <w:p w:rsidR="00A31C83" w:rsidRDefault="00A31C83" w:rsidP="00C02C3C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C83" w:rsidTr="00A31C83">
        <w:tc>
          <w:tcPr>
            <w:tcW w:w="4726" w:type="dxa"/>
          </w:tcPr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lastRenderedPageBreak/>
              <w:t xml:space="preserve">EGS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¿Yehwa sah eski pos nochi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 kowm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pawit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ōn? </w:t>
            </w:r>
          </w:p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Yehwa sah, yehwa sah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ōn.</w:t>
            </w:r>
          </w:p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chili 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āy.</w:t>
            </w:r>
          </w:p>
          <w:p w:rsidR="00A31C83" w:rsidRPr="005F3691" w:rsidRDefault="005F3691" w:rsidP="005F369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Yehwa sah. </w:t>
            </w:r>
            <w:r w:rsidRPr="00CD51C5">
              <w:rPr>
                <w:rFonts w:asciiTheme="minorHAnsi" w:hAnsiTheme="minorHAnsi" w:cs="Courier New"/>
                <w:noProof/>
                <w:sz w:val="18"/>
                <w:szCs w:val="18"/>
              </w:rPr>
              <w:t>NiErnesto Vázquez, José Ernesto Vázq</w:t>
            </w:r>
            <w:proofErr w:type="spellStart"/>
            <w:r w:rsidRPr="00CD51C5">
              <w:rPr>
                <w:rFonts w:asciiTheme="minorHAnsi" w:hAnsiTheme="minorHAnsi" w:cs="Courier New"/>
                <w:sz w:val="18"/>
                <w:szCs w:val="18"/>
              </w:rPr>
              <w:t>uez</w:t>
            </w:r>
            <w:proofErr w:type="spellEnd"/>
            <w:r w:rsidRPr="00CD51C5">
              <w:rPr>
                <w:rFonts w:asciiTheme="minorHAnsi" w:hAnsiTheme="minorHAnsi" w:cs="Courier New"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</w:p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  <w:p w:rsidR="005F3691" w:rsidRPr="00CD51C5" w:rsidRDefault="005F3691" w:rsidP="005F3691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   |  </w:t>
            </w:r>
          </w:p>
          <w:p w:rsidR="00A31C83" w:rsidRDefault="005F3691" w:rsidP="005F3691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CD51C5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   |  </w:t>
            </w:r>
          </w:p>
        </w:tc>
      </w:tr>
    </w:tbl>
    <w:p w:rsidR="00587CF1" w:rsidRPr="00CD51C5" w:rsidRDefault="00587CF1" w:rsidP="008E7C6E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587CF1" w:rsidRPr="00CD51C5" w:rsidSect="00C02C3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1C31"/>
    <w:rsid w:val="00191C31"/>
    <w:rsid w:val="00354191"/>
    <w:rsid w:val="00587CF1"/>
    <w:rsid w:val="005F3691"/>
    <w:rsid w:val="00764151"/>
    <w:rsid w:val="008E7C6E"/>
    <w:rsid w:val="008F6117"/>
    <w:rsid w:val="009A40F7"/>
    <w:rsid w:val="00A211FE"/>
    <w:rsid w:val="00A26445"/>
    <w:rsid w:val="00A31C83"/>
    <w:rsid w:val="00B9463A"/>
    <w:rsid w:val="00BD07EE"/>
    <w:rsid w:val="00CB4A9E"/>
    <w:rsid w:val="00CD51C5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C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C3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A3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2015-02-05T19:58:00Z</dcterms:created>
  <dcterms:modified xsi:type="dcterms:W3CDTF">2015-02-18T23:59:00Z</dcterms:modified>
</cp:coreProperties>
</file>